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ПОЯСНИТЕЛЬНАЯ ЗАПИСКА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к проекту бюджета муниципального образования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«Нижнегридинский  сельсовет»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на 2023 год и плановый период 2024 и 2025 годов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ДОХОДЫ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В основу разработки проекта бюджета на 2023 год и плановый период 2024 и 2025 годов  положена  Методика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2023 год и на плановый период 2024 и 2025 годов, прогноз социально-экономического развития муниципального образования  «Нижнегридинский  сельсовет» Большесолдатского района Курской области на 2023год и плановый период 2024 и 2025 годов, действующее налоговое и бюджетное законодательство.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На 2023 год поступление  доходов планируются в сумме 2581,092 тыс. рублей, в том числе налоговые и неналоговые доходы – 1542,509 тыс. рублей, на 2024 год – 2085,202 тыс. рублей, в том числе налоговые и неналоговые доходы – 1544,841 тыс. рублей,  на 2025 год – 2058,630 тыс. рублей, в том числе налоговые и неналоговые доходы – 1548,073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Поступление финансовой помощи в виде дотации на выравнивание бюджетной обеспеченности планируется на 2023 год в сумме  486,271 тыс. рублей, на 2024год – 423,056 тыс.рублей, на 2025 год – 389,017 тыс. рублей дотации на поддержку мер по обеспечению сбалансированности бюджетов на 2023 год в сумме 440,186 тыс.рублей.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Субвенция бюджетам бюджетной системы Российской Федерации планируется на 2023 год в сумме 112,126 тыс. рублей, на 2024год - 117,305 тыс.рублей, на 2025 год - 121,540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Особенности  расчетов поступлений платежей.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Налог на доходы физических лиц</w:t>
      </w:r>
      <w:r>
        <w:rPr>
          <w:rFonts w:ascii="PT-Astra-Sans-Regular" w:hAnsi="PT-Astra-Sans-Regular"/>
          <w:color w:val="252525"/>
          <w:sz w:val="15"/>
          <w:szCs w:val="15"/>
        </w:rPr>
        <w:t> 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5" w:history="1">
        <w:r>
          <w:rPr>
            <w:rStyle w:val="a5"/>
            <w:rFonts w:ascii="PT-Astra-Sans-Regular" w:hAnsi="PT-Astra-Sans-Regular"/>
            <w:color w:val="0345BF"/>
          </w:rPr>
          <w:t>статьями 227</w:t>
        </w:r>
      </w:hyperlink>
      <w:r>
        <w:rPr>
          <w:rFonts w:ascii="PT-Astra-Sans-Regular" w:hAnsi="PT-Astra-Sans-Regular"/>
          <w:color w:val="252525"/>
          <w:sz w:val="15"/>
          <w:szCs w:val="15"/>
        </w:rPr>
        <w:t>, </w:t>
      </w:r>
      <w:hyperlink r:id="rId6" w:history="1">
        <w:r>
          <w:rPr>
            <w:rStyle w:val="a5"/>
            <w:rFonts w:ascii="PT-Astra-Sans-Regular" w:hAnsi="PT-Astra-Sans-Regular"/>
            <w:color w:val="0345BF"/>
          </w:rPr>
          <w:t>1</w:t>
        </w:r>
      </w:hyperlink>
      <w:r>
        <w:rPr>
          <w:rFonts w:ascii="PT-Astra-Sans-Regular" w:hAnsi="PT-Astra-Sans-Regular"/>
          <w:color w:val="252525"/>
          <w:sz w:val="15"/>
          <w:szCs w:val="15"/>
        </w:rPr>
        <w:t> и </w:t>
      </w:r>
      <w:hyperlink r:id="rId7" w:history="1">
        <w:r>
          <w:rPr>
            <w:rStyle w:val="a5"/>
            <w:rFonts w:ascii="PT-Astra-Sans-Regular" w:hAnsi="PT-Astra-Sans-Regular"/>
            <w:color w:val="0345BF"/>
          </w:rPr>
          <w:t>228</w:t>
        </w:r>
      </w:hyperlink>
      <w:r>
        <w:rPr>
          <w:rFonts w:ascii="PT-Astra-Sans-Regular" w:hAnsi="PT-Astra-Sans-Regular"/>
          <w:color w:val="252525"/>
          <w:sz w:val="15"/>
          <w:szCs w:val="15"/>
        </w:rPr>
        <w:t> Налогового кодекса Российской Федерации (код 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1 01 02010 01 0000 110</w:t>
      </w:r>
      <w:r>
        <w:rPr>
          <w:rFonts w:ascii="PT-Astra-Sans-Regular" w:hAnsi="PT-Astra-Sans-Regular"/>
          <w:color w:val="252525"/>
          <w:sz w:val="15"/>
          <w:szCs w:val="15"/>
        </w:rPr>
        <w:t>).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         За 1-ое полугодие 2022 года составил 12,677 тыс. руб., а за 10 месяцев – 25,471 тыс. руб.  Ожидаемое поступление налога в 2022 году в сумме 43,973 тыс. рублей, в 2023 году в сумме 37,628 тыс. рублей, в 2024 году  39,915 тыс. рублей, в 2025 году  43,105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5"/>
            <w:rFonts w:ascii="PT-Astra-Sans-Regular" w:hAnsi="PT-Astra-Sans-Regular"/>
            <w:color w:val="0345BF"/>
          </w:rPr>
          <w:t>статьей 227</w:t>
        </w:r>
      </w:hyperlink>
      <w:r>
        <w:rPr>
          <w:rFonts w:ascii="PT-Astra-Sans-Regular" w:hAnsi="PT-Astra-Sans-Regular"/>
          <w:color w:val="252525"/>
          <w:sz w:val="15"/>
          <w:szCs w:val="15"/>
        </w:rPr>
        <w:t> Налогового кодекса Российской Федерации (код 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1 01 02020 01 0000 110</w:t>
      </w:r>
      <w:r>
        <w:rPr>
          <w:rFonts w:ascii="PT-Astra-Sans-Regular" w:hAnsi="PT-Astra-Sans-Regular"/>
          <w:color w:val="252525"/>
          <w:sz w:val="15"/>
          <w:szCs w:val="15"/>
        </w:rPr>
        <w:t>), рассчитывался исходя из ожидаемого поступления налога в 2021 году, скорректированного на ежегодные темпы роста (снижения) фонда заработной платы в 2023 - 2025 годах.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 Ожидаемое поступление налога в 2022 году рассчитывалось исходя из фактических поступлений сумм налога в 2021 году, скорректированного на темпы роста (снижения) фонда заработной платы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 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5"/>
            <w:rFonts w:ascii="PT-Astra-Sans-Regular" w:hAnsi="PT-Astra-Sans-Regular"/>
            <w:color w:val="0345BF"/>
          </w:rPr>
          <w:t>статьей 228</w:t>
        </w:r>
      </w:hyperlink>
      <w:r>
        <w:rPr>
          <w:rFonts w:ascii="PT-Astra-Sans-Regular" w:hAnsi="PT-Astra-Sans-Regular"/>
          <w:color w:val="252525"/>
          <w:sz w:val="15"/>
          <w:szCs w:val="15"/>
        </w:rPr>
        <w:t> Налогового кодекса Российской Федерации (код 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1 01 02030 01 0000 110</w:t>
      </w:r>
      <w:r>
        <w:rPr>
          <w:rFonts w:ascii="PT-Astra-Sans-Regular" w:hAnsi="PT-Astra-Sans-Regular"/>
          <w:color w:val="252525"/>
          <w:sz w:val="15"/>
          <w:szCs w:val="15"/>
        </w:rPr>
        <w:t>) в 2023–2025 годах определяется на уровне ожидаемого поступления налога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Ожидаемое поступление налога в 2022 году определяется на уровне фактического поступления налога в 2021 году.</w:t>
      </w:r>
    </w:p>
    <w:p w:rsidR="00EC48EE" w:rsidRDefault="00EC48EE" w:rsidP="00EC48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Налог на совокупный доход.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Прогноз поступлений налога на 2023-2025 годы рассчитывается исходя из ожидаемого поступления налога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lastRenderedPageBreak/>
        <w:t>Ожидаемое поступление в 2022 году определяется на уровне фактического поступления налога в 2021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 Ожидаемое поступление в 2022 году  в сумме 0,907  тыс. рублей,  в 2023 году  0,989 тыс. рублей, в 2024 году  1,034  тыс. рублей, в 2025 году  1,076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 Налог на имущество физических лиц.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Прогноз поступлений налога на 2023-2025 годы рассчитывается исходя из ожидаемого поступления налога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Ожидаемое поступление в 2022 году определяется на уровне фактического поступления налога в 2021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 Фактическое поступление налога в 2021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году 18,016 тыс. рублей,  ожидаемое поступление в 2022 году  в сумме 32,831  тыс. рублей,  в 2023 году - 18,016 тыс. рублей, в 2024 году - 18,016 тыс. рублей, в 2025 году  -18,016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Земельный налог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Ожидаемое поступление налога в 2022 году рассчитывается исходя из фактического поступления налога во 2 полугодии 2021  года и в 1 полугодии 2022 года.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 Фактическое поступление налога за 2021г. – 1368,300  тыс. рублей, ожидаемое  поступление налога в 2022 году – 1600,308 тыс. рублей, в 2023 году- 1482,326 тыс. рублей, в 2024 году - 1482,326 тыс. рублей, в 2025 году  1482,326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       4.Доходы от оказания платных услуг (работ) получателями средств бюджетов сельских поселений 1 13 01000 00 0000 130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 Поступление доходов от оказания платных услуг (работ) в бюджет на 2023 - 2025 годы прогнозируется на уровне ожидаемого поступления доходов в 2022 году.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Ожидаемое поступление в 2022 году рассчитывается исходя из фактического поступления доходов во 2-м полугодии 2021 года и в 1-м полугодии 2022 года.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Безвозмездные поступления.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    Финансовая помощь из областного бюджета планируется в виде дотаций, субвенций, субсидий в пределах средств, предусмотренных в проекте Закона Курской области «Об областном бюджете на 2023 год и плановый период на 2024 и 2025 годов».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                                   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Расходы местного бюджета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 xml:space="preserve"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</w:t>
      </w:r>
      <w:r>
        <w:rPr>
          <w:rFonts w:ascii="PT-Astra-Sans-Regular" w:hAnsi="PT-Astra-Sans-Regular"/>
          <w:color w:val="252525"/>
          <w:sz w:val="15"/>
          <w:szCs w:val="15"/>
        </w:rPr>
        <w:lastRenderedPageBreak/>
        <w:t>2007года №122-ФЗ. Решение  собрания  депутатов Нижнегридинского сельсовета от 18 октября 2013  года № 189  "Об утверждении Положения о бюджетном процессе в муниципальном образовании «Нижнегридинский сельсовет» Большесолдатского района Курской области."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При определении объемов расходов на 2023 год и плановый период 2024 и  2025 годов предусматривается приоритетное направление средств на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 -  заработную плату с начислениями;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  - текущая оплата коммунальных услуг;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При формировании бюджета на 2023 год и плановый период 2024 и  2025 годов на содержание органов местного самоуправления запланированы  расходы, согласно утвержденного норматива на содержание органов управления, начисления на оплату труда 30,2%.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1"/>
        <w:shd w:val="clear" w:color="auto" w:fill="FFFFFF"/>
        <w:spacing w:before="0"/>
        <w:jc w:val="both"/>
        <w:rPr>
          <w:rFonts w:ascii="PT-Astra-Sans-Regular" w:hAnsi="PT-Astra-Sans-Regular"/>
          <w:b w:val="0"/>
          <w:bCs w:val="0"/>
          <w:color w:val="252525"/>
          <w:sz w:val="48"/>
          <w:szCs w:val="48"/>
        </w:rPr>
      </w:pPr>
      <w:r>
        <w:rPr>
          <w:rStyle w:val="a4"/>
          <w:rFonts w:ascii="PT-Astra-Sans-Regular" w:hAnsi="PT-Astra-Sans-Regular"/>
          <w:b/>
          <w:bCs/>
          <w:color w:val="252525"/>
        </w:rPr>
        <w:t>Раздел 0100 «Общегосударственные вопросы»       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 По данному разделу планируются расходы: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- на содержание Главы Нижнегридинского сельсовета Большесолдатского района (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0102),</w:t>
      </w:r>
      <w:r>
        <w:rPr>
          <w:rFonts w:ascii="PT-Astra-Sans-Regular" w:hAnsi="PT-Astra-Sans-Regular"/>
          <w:color w:val="252525"/>
          <w:sz w:val="15"/>
          <w:szCs w:val="15"/>
        </w:rPr>
        <w:t>  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дополнениями),  на уровне 2022 года;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 -органов местного самоуправления 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(0104)  </w:t>
      </w:r>
      <w:r>
        <w:rPr>
          <w:rFonts w:ascii="PT-Astra-Sans-Regular" w:hAnsi="PT-Astra-Sans-Regular"/>
          <w:color w:val="252525"/>
          <w:sz w:val="15"/>
          <w:szCs w:val="15"/>
        </w:rPr>
        <w:t>на уровне 2022 года в пределах установленного 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-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 (0111)</w:t>
      </w:r>
      <w:r>
        <w:rPr>
          <w:rFonts w:ascii="PT-Astra-Sans-Regular" w:hAnsi="PT-Astra-Sans-Regular"/>
          <w:color w:val="252525"/>
          <w:sz w:val="15"/>
          <w:szCs w:val="15"/>
        </w:rPr>
        <w:t> Резервный фонд установлен решением о бюджете и не может превышать 3% от объема расходов бюджета  за соответствующий период;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- (</w:t>
      </w:r>
      <w:r>
        <w:rPr>
          <w:rStyle w:val="a4"/>
          <w:rFonts w:ascii="PT-Astra-Sans-Regular" w:hAnsi="PT-Astra-Sans-Regular"/>
          <w:color w:val="252525"/>
          <w:sz w:val="15"/>
          <w:szCs w:val="15"/>
        </w:rPr>
        <w:t>0113</w:t>
      </w:r>
      <w:r>
        <w:rPr>
          <w:rFonts w:ascii="PT-Astra-Sans-Regular" w:hAnsi="PT-Astra-Sans-Regular"/>
          <w:color w:val="252525"/>
          <w:sz w:val="15"/>
          <w:szCs w:val="15"/>
        </w:rPr>
        <w:t>) Другие общегосударственные вопросы- оплата членских взносов членов Совета муниципальных образований Курской области, на опубликование в средствах массовой информации  правовых актов, иной официальной информации, подлежащей опубликованию или вступающей в силу после официального опубликования, непрограмные расходы на обеспечение  деятельности муниципальных казенных учреждений, расходы  на обеспечение мероприятий в области имущественных отношений.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Раздел 0200 «Национальная оборона»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Подраздел 0203 "Мобилизационная и вневойсковая подготовка"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По данному разделу предусмотрены расходы на осуществление переданных полномочий Российской Федерации по первичному воинскому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учету на территориях, где отсутствуют военные комиссариаты, за счет средств федерального бюджета в 2023 году в сумме 112,126 тыс.рублей, 2024 году в сумме 117,305 тыс.рублей, 2025 году в сумме 121,540 тыс. рублей.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Раздел 0300 "Национальная безопасность и правоохранительная деятельность"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Подраздел 0310 "Обеспечение пожарной безопасности"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По данному подразделу предусмотрены расходы на защиту населения и территорий от чрезвычайных ситуаций  и пожарной безопасности поселения.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      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        Раздел 0500 "Жилищно-коммунальное хозяйство"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lastRenderedPageBreak/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                Подраздел 0503 "Благоустройство"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  По данному подразделу планируются расходы на благоустройство территории муниципального образования, включающие уличное освещение, озеленение, расходы, связанные с содержанием и уборкой территорий улиц, установка контейнеров на территории кладбищ, а также иные расходы по содержанию объектов благоустройства.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Раздел 1000 "Социальная политика"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Подраздел 1001 "Пенсионное обеспечение"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hAnsi="PT-Astra-Sans-Regular"/>
          <w:color w:val="252525"/>
          <w:sz w:val="15"/>
          <w:szCs w:val="15"/>
        </w:rPr>
        <w:t> </w:t>
      </w:r>
    </w:p>
    <w:p w:rsidR="00EC48EE" w:rsidRDefault="00EC48EE" w:rsidP="00EC48E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 По данному подразделу планируются расходы  на оплату пенсии за выслугу лет  муниципальным служащим и доплат к пенсиям глав  администрации в 2023 году - 275,000 тыс. рублей, в 2024 году – 272,860 тыс. рублей, в 2025 году – 194,395 тыс. рублей.</w:t>
      </w:r>
    </w:p>
    <w:p w:rsidR="009E7384" w:rsidRPr="00EC48EE" w:rsidRDefault="009E7384" w:rsidP="00EC48EE"/>
    <w:sectPr w:rsidR="009E7384" w:rsidRPr="00EC48EE" w:rsidSect="006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6D7"/>
    <w:multiLevelType w:val="multilevel"/>
    <w:tmpl w:val="2282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C46DE"/>
    <w:multiLevelType w:val="multilevel"/>
    <w:tmpl w:val="CA6AD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54232"/>
    <w:multiLevelType w:val="multilevel"/>
    <w:tmpl w:val="2F90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C2AC5"/>
    <w:multiLevelType w:val="multilevel"/>
    <w:tmpl w:val="035C3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50220"/>
    <w:multiLevelType w:val="multilevel"/>
    <w:tmpl w:val="5E427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E7384"/>
    <w:rsid w:val="00621AA5"/>
    <w:rsid w:val="009E7384"/>
    <w:rsid w:val="00AE7746"/>
    <w:rsid w:val="00EC48EE"/>
    <w:rsid w:val="00EF26AF"/>
    <w:rsid w:val="00F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A5"/>
  </w:style>
  <w:style w:type="paragraph" w:styleId="1">
    <w:name w:val="heading 1"/>
    <w:basedOn w:val="a"/>
    <w:next w:val="a"/>
    <w:link w:val="10"/>
    <w:uiPriority w:val="9"/>
    <w:qFormat/>
    <w:rsid w:val="00EC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AE77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A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AE77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C4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2023-09-30T12:06:00Z</dcterms:created>
  <dcterms:modified xsi:type="dcterms:W3CDTF">2023-09-30T12:08:00Z</dcterms:modified>
</cp:coreProperties>
</file>